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2"/>
        <w:gridCol w:w="906"/>
      </w:tblGrid>
      <w:tr w:rsidR="003B1464" w:rsidRPr="001B3A03" w:rsidTr="003B1464">
        <w:trPr>
          <w:trHeight w:val="829"/>
        </w:trPr>
        <w:tc>
          <w:tcPr>
            <w:tcW w:w="7485" w:type="dxa"/>
            <w:shd w:val="clear" w:color="auto" w:fill="365F91" w:themeFill="accent1" w:themeFillShade="BF"/>
            <w:vAlign w:val="center"/>
          </w:tcPr>
          <w:p w:rsidR="003B1464" w:rsidRPr="001B3A03" w:rsidRDefault="003B1464" w:rsidP="004E2E1B">
            <w:pPr>
              <w:spacing w:before="120" w:after="40" w:line="20" w:lineRule="atLeast"/>
              <w:jc w:val="center"/>
              <w:rPr>
                <w:rFonts w:ascii="Arial Narrow" w:hAnsi="Arial Narrow"/>
                <w:b/>
                <w:bCs/>
                <w:i/>
                <w:iCs/>
                <w:color w:val="FFFFFF" w:themeColor="background1"/>
                <w:sz w:val="30"/>
                <w:szCs w:val="30"/>
                <w:lang w:eastAsia="ar-SA"/>
              </w:rPr>
            </w:pPr>
            <w:r>
              <w:rPr>
                <w:rFonts w:asciiTheme="minorHAnsi" w:hAnsiTheme="minorHAnsi" w:cstheme="minorBidi"/>
                <w:sz w:val="25"/>
                <w:szCs w:val="25"/>
              </w:rPr>
              <w:br w:type="page"/>
            </w:r>
            <w:r w:rsidRPr="001B3A03">
              <w:rPr>
                <w:rFonts w:ascii="Arial Narrow" w:hAnsi="Arial Narrow"/>
                <w:b/>
                <w:bCs/>
                <w:color w:val="FFFFFF" w:themeColor="background1"/>
                <w:sz w:val="30"/>
                <w:szCs w:val="30"/>
                <w:lang w:eastAsia="ar-SA"/>
              </w:rPr>
              <w:t>Principaux indicateurs du secteur et niveaux d’atteinte des objectifs d’</w:t>
            </w:r>
            <w:proofErr w:type="spellStart"/>
            <w:r w:rsidRPr="001B3A03">
              <w:rPr>
                <w:rFonts w:ascii="Arial Narrow" w:hAnsi="Arial Narrow"/>
                <w:b/>
                <w:bCs/>
                <w:color w:val="FFFFFF" w:themeColor="background1"/>
                <w:sz w:val="30"/>
                <w:szCs w:val="30"/>
                <w:lang w:eastAsia="ar-SA"/>
              </w:rPr>
              <w:t>Halieutis</w:t>
            </w:r>
            <w:proofErr w:type="spellEnd"/>
          </w:p>
        </w:tc>
        <w:tc>
          <w:tcPr>
            <w:tcW w:w="929" w:type="dxa"/>
            <w:shd w:val="clear" w:color="auto" w:fill="DBE5F1" w:themeFill="accent1" w:themeFillTint="33"/>
            <w:vAlign w:val="center"/>
          </w:tcPr>
          <w:p w:rsidR="003B1464" w:rsidRPr="001B3A03" w:rsidRDefault="003B1464" w:rsidP="00B20A73">
            <w:pPr>
              <w:spacing w:before="120" w:after="40" w:line="20" w:lineRule="atLeast"/>
              <w:jc w:val="center"/>
              <w:rPr>
                <w:rFonts w:ascii="Arial Narrow" w:hAnsi="Arial Narrow"/>
                <w:b/>
                <w:bCs/>
                <w:i/>
                <w:iCs/>
                <w:color w:val="00B0F0"/>
                <w:sz w:val="30"/>
                <w:szCs w:val="30"/>
                <w:lang w:eastAsia="ar-SA"/>
              </w:rPr>
            </w:pPr>
          </w:p>
        </w:tc>
      </w:tr>
    </w:tbl>
    <w:p w:rsidR="003B1464" w:rsidRPr="00F159FE" w:rsidRDefault="003B1464" w:rsidP="003B1464">
      <w:pPr>
        <w:spacing w:line="20" w:lineRule="atLeast"/>
        <w:jc w:val="both"/>
        <w:rPr>
          <w:b/>
          <w:bCs/>
          <w:sz w:val="22"/>
          <w:szCs w:val="22"/>
          <w:lang w:eastAsia="ar-SA"/>
        </w:rPr>
      </w:pPr>
    </w:p>
    <w:p w:rsidR="003B1464" w:rsidRPr="001B3A03" w:rsidRDefault="003B1464" w:rsidP="003B1464">
      <w:pPr>
        <w:pStyle w:val="Paragraphedeliste"/>
        <w:spacing w:before="60" w:after="60" w:line="20" w:lineRule="atLeast"/>
        <w:ind w:left="0"/>
        <w:contextualSpacing w:val="0"/>
        <w:jc w:val="both"/>
        <w:rPr>
          <w:b/>
          <w:bCs/>
          <w:color w:val="548DD4" w:themeColor="text2" w:themeTint="99"/>
          <w:sz w:val="25"/>
          <w:szCs w:val="25"/>
          <w:lang w:eastAsia="ar-SA"/>
        </w:rPr>
      </w:pPr>
      <w:r w:rsidRPr="001B3A03">
        <w:rPr>
          <w:b/>
          <w:bCs/>
          <w:color w:val="548DD4" w:themeColor="text2" w:themeTint="99"/>
          <w:sz w:val="25"/>
          <w:szCs w:val="25"/>
          <w:lang w:eastAsia="ar-SA"/>
        </w:rPr>
        <w:t>Production des produits de la mer</w:t>
      </w:r>
      <w:r>
        <w:rPr>
          <w:b/>
          <w:bCs/>
          <w:color w:val="548DD4" w:themeColor="text2" w:themeTint="99"/>
          <w:sz w:val="25"/>
          <w:szCs w:val="25"/>
          <w:lang w:eastAsia="ar-SA"/>
        </w:rPr>
        <w:t xml:space="preserve"> (en volume et en valeur)</w:t>
      </w:r>
      <w:r w:rsidRPr="001B3A03">
        <w:rPr>
          <w:b/>
          <w:bCs/>
          <w:color w:val="548DD4" w:themeColor="text2" w:themeTint="99"/>
          <w:sz w:val="25"/>
          <w:szCs w:val="25"/>
          <w:lang w:eastAsia="ar-SA"/>
        </w:rPr>
        <w:t> :</w:t>
      </w:r>
    </w:p>
    <w:p w:rsidR="003B1464" w:rsidRPr="0028216C" w:rsidRDefault="003B1464" w:rsidP="003B1464">
      <w:pPr>
        <w:pStyle w:val="Paragraphedeliste"/>
        <w:numPr>
          <w:ilvl w:val="0"/>
          <w:numId w:val="1"/>
        </w:numPr>
        <w:spacing w:after="60"/>
        <w:ind w:left="425" w:hanging="357"/>
        <w:contextualSpacing w:val="0"/>
        <w:jc w:val="both"/>
        <w:rPr>
          <w:color w:val="000000" w:themeColor="text1"/>
          <w:sz w:val="25"/>
          <w:szCs w:val="25"/>
          <w:lang w:eastAsia="ar-SA"/>
        </w:rPr>
      </w:pPr>
      <w:r>
        <w:rPr>
          <w:b/>
          <w:bCs/>
          <w:color w:val="365F91" w:themeColor="accent1" w:themeShade="BF"/>
          <w:sz w:val="25"/>
          <w:szCs w:val="25"/>
          <w:lang w:eastAsia="ar-SA"/>
        </w:rPr>
        <w:t>1,</w:t>
      </w:r>
      <w:r w:rsidRPr="001B3A03">
        <w:rPr>
          <w:b/>
          <w:bCs/>
          <w:color w:val="365F91" w:themeColor="accent1" w:themeShade="BF"/>
          <w:sz w:val="25"/>
          <w:szCs w:val="25"/>
          <w:lang w:eastAsia="ar-SA"/>
        </w:rPr>
        <w:t>38 Million de tonnes</w:t>
      </w:r>
      <w:r w:rsidRPr="001B3A03">
        <w:rPr>
          <w:color w:val="000000" w:themeColor="text1"/>
          <w:sz w:val="25"/>
          <w:szCs w:val="25"/>
          <w:lang w:eastAsia="ar-SA"/>
        </w:rPr>
        <w:t xml:space="preserve"> débarquées en 2020, avec une croissance annuelle moyenne de 2% entre 2010 et 2020.En 2020, la production halieutique représente </w:t>
      </w:r>
      <w:r w:rsidRPr="001B3A03">
        <w:rPr>
          <w:b/>
          <w:bCs/>
          <w:color w:val="365F91" w:themeColor="accent1" w:themeShade="BF"/>
          <w:sz w:val="25"/>
          <w:szCs w:val="25"/>
          <w:lang w:eastAsia="ar-SA"/>
        </w:rPr>
        <w:t xml:space="preserve">83% de l’objectif fixé par </w:t>
      </w:r>
      <w:proofErr w:type="spellStart"/>
      <w:proofErr w:type="gramStart"/>
      <w:r w:rsidRPr="001B3A03">
        <w:rPr>
          <w:b/>
          <w:bCs/>
          <w:color w:val="365F91" w:themeColor="accent1" w:themeShade="BF"/>
          <w:sz w:val="25"/>
          <w:szCs w:val="25"/>
          <w:lang w:eastAsia="ar-SA"/>
        </w:rPr>
        <w:t>Halieutis</w:t>
      </w:r>
      <w:proofErr w:type="spellEnd"/>
      <w:r>
        <w:rPr>
          <w:color w:val="000000" w:themeColor="text1"/>
          <w:sz w:val="25"/>
          <w:szCs w:val="25"/>
          <w:lang w:eastAsia="ar-SA"/>
        </w:rPr>
        <w:t>(</w:t>
      </w:r>
      <w:proofErr w:type="gramEnd"/>
      <w:r>
        <w:rPr>
          <w:color w:val="000000" w:themeColor="text1"/>
          <w:sz w:val="25"/>
          <w:szCs w:val="25"/>
          <w:lang w:eastAsia="ar-SA"/>
        </w:rPr>
        <w:t>1,66 Million de</w:t>
      </w:r>
      <w:r w:rsidRPr="001B3A03">
        <w:rPr>
          <w:color w:val="000000" w:themeColor="text1"/>
          <w:sz w:val="25"/>
          <w:szCs w:val="25"/>
          <w:lang w:eastAsia="ar-SA"/>
        </w:rPr>
        <w:t xml:space="preserve"> tonnes</w:t>
      </w:r>
      <w:r>
        <w:rPr>
          <w:color w:val="000000" w:themeColor="text1"/>
          <w:sz w:val="25"/>
          <w:szCs w:val="25"/>
          <w:lang w:eastAsia="ar-SA"/>
        </w:rPr>
        <w:t>)</w:t>
      </w:r>
      <w:r w:rsidRPr="001B3A03">
        <w:rPr>
          <w:color w:val="000000" w:themeColor="text1"/>
          <w:sz w:val="25"/>
          <w:szCs w:val="25"/>
          <w:lang w:eastAsia="ar-SA"/>
        </w:rPr>
        <w:t>.</w:t>
      </w:r>
    </w:p>
    <w:p w:rsidR="003B1464" w:rsidRPr="0028216C" w:rsidRDefault="003B1464" w:rsidP="003B1464">
      <w:pPr>
        <w:pStyle w:val="Paragraphedeliste"/>
        <w:numPr>
          <w:ilvl w:val="0"/>
          <w:numId w:val="1"/>
        </w:numPr>
        <w:spacing w:after="60" w:line="20" w:lineRule="atLeast"/>
        <w:ind w:left="426"/>
        <w:contextualSpacing w:val="0"/>
        <w:jc w:val="both"/>
        <w:rPr>
          <w:color w:val="000000" w:themeColor="text1"/>
          <w:sz w:val="25"/>
          <w:szCs w:val="25"/>
          <w:lang w:eastAsia="ar-SA"/>
        </w:rPr>
      </w:pPr>
      <w:r w:rsidRPr="0028216C">
        <w:rPr>
          <w:b/>
          <w:bCs/>
          <w:color w:val="365F91" w:themeColor="accent1" w:themeShade="BF"/>
          <w:sz w:val="25"/>
          <w:szCs w:val="25"/>
          <w:lang w:eastAsia="ar-SA"/>
        </w:rPr>
        <w:t>11,</w:t>
      </w:r>
      <w:r>
        <w:rPr>
          <w:b/>
          <w:bCs/>
          <w:color w:val="365F91" w:themeColor="accent1" w:themeShade="BF"/>
          <w:sz w:val="25"/>
          <w:szCs w:val="25"/>
          <w:lang w:eastAsia="ar-SA"/>
        </w:rPr>
        <w:t xml:space="preserve">3 </w:t>
      </w:r>
      <w:r w:rsidRPr="0028216C">
        <w:rPr>
          <w:b/>
          <w:bCs/>
          <w:color w:val="365F91" w:themeColor="accent1" w:themeShade="BF"/>
          <w:sz w:val="25"/>
          <w:szCs w:val="25"/>
          <w:lang w:eastAsia="ar-SA"/>
        </w:rPr>
        <w:t xml:space="preserve">MMDH </w:t>
      </w:r>
      <w:r w:rsidRPr="0028216C">
        <w:rPr>
          <w:color w:val="000000" w:themeColor="text1"/>
          <w:sz w:val="25"/>
          <w:szCs w:val="25"/>
          <w:lang w:eastAsia="ar-SA"/>
        </w:rPr>
        <w:t>en 2020</w:t>
      </w:r>
      <w:r>
        <w:rPr>
          <w:color w:val="000000" w:themeColor="text1"/>
          <w:sz w:val="25"/>
          <w:szCs w:val="25"/>
          <w:lang w:eastAsia="ar-SA"/>
        </w:rPr>
        <w:t xml:space="preserve">, avec </w:t>
      </w:r>
      <w:r w:rsidRPr="0028216C">
        <w:rPr>
          <w:color w:val="000000" w:themeColor="text1"/>
          <w:sz w:val="25"/>
          <w:szCs w:val="25"/>
          <w:lang w:eastAsia="ar-SA"/>
        </w:rPr>
        <w:t>une croissance annuelle moyenne de 5,4% sur la période 2010-2020</w:t>
      </w:r>
      <w:r>
        <w:rPr>
          <w:color w:val="000000" w:themeColor="text1"/>
          <w:sz w:val="25"/>
          <w:szCs w:val="25"/>
          <w:lang w:eastAsia="ar-SA"/>
        </w:rPr>
        <w:t>.</w:t>
      </w:r>
    </w:p>
    <w:p w:rsidR="003B1464" w:rsidRPr="001B3A03" w:rsidRDefault="003B1464" w:rsidP="003B1464">
      <w:pPr>
        <w:pStyle w:val="Paragraphedeliste"/>
        <w:spacing w:after="0" w:line="20" w:lineRule="atLeast"/>
        <w:ind w:left="0"/>
        <w:jc w:val="both"/>
        <w:rPr>
          <w:color w:val="000000" w:themeColor="text1"/>
          <w:sz w:val="25"/>
          <w:szCs w:val="25"/>
          <w:lang w:eastAsia="ar-SA"/>
        </w:rPr>
      </w:pPr>
    </w:p>
    <w:p w:rsidR="003B1464" w:rsidRPr="001B3A03" w:rsidRDefault="003B1464" w:rsidP="003B1464">
      <w:pPr>
        <w:pStyle w:val="Paragraphedeliste"/>
        <w:spacing w:before="60" w:after="60" w:line="20" w:lineRule="atLeast"/>
        <w:ind w:left="0"/>
        <w:contextualSpacing w:val="0"/>
        <w:jc w:val="both"/>
        <w:rPr>
          <w:b/>
          <w:bCs/>
          <w:color w:val="548DD4" w:themeColor="text2" w:themeTint="99"/>
          <w:sz w:val="25"/>
          <w:szCs w:val="25"/>
          <w:lang w:eastAsia="ar-SA"/>
        </w:rPr>
      </w:pPr>
      <w:r w:rsidRPr="001B3A03">
        <w:rPr>
          <w:b/>
          <w:bCs/>
          <w:color w:val="548DD4" w:themeColor="text2" w:themeTint="99"/>
          <w:sz w:val="25"/>
          <w:szCs w:val="25"/>
          <w:lang w:eastAsia="ar-SA"/>
        </w:rPr>
        <w:t>Exportations </w:t>
      </w:r>
      <w:r>
        <w:rPr>
          <w:b/>
          <w:bCs/>
          <w:color w:val="548DD4" w:themeColor="text2" w:themeTint="99"/>
          <w:sz w:val="25"/>
          <w:szCs w:val="25"/>
          <w:lang w:eastAsia="ar-SA"/>
        </w:rPr>
        <w:t>(en volume et en valeur)</w:t>
      </w:r>
      <w:r w:rsidRPr="001B3A03">
        <w:rPr>
          <w:b/>
          <w:bCs/>
          <w:color w:val="548DD4" w:themeColor="text2" w:themeTint="99"/>
          <w:sz w:val="25"/>
          <w:szCs w:val="25"/>
          <w:lang w:eastAsia="ar-SA"/>
        </w:rPr>
        <w:t> :</w:t>
      </w:r>
    </w:p>
    <w:p w:rsidR="003B1464" w:rsidRPr="0028216C" w:rsidRDefault="003B1464" w:rsidP="003B1464">
      <w:pPr>
        <w:pStyle w:val="Paragraphedeliste"/>
        <w:numPr>
          <w:ilvl w:val="0"/>
          <w:numId w:val="1"/>
        </w:numPr>
        <w:spacing w:before="120" w:after="60"/>
        <w:ind w:left="425" w:hanging="357"/>
        <w:contextualSpacing w:val="0"/>
        <w:jc w:val="both"/>
        <w:rPr>
          <w:i/>
          <w:iCs/>
          <w:color w:val="000000" w:themeColor="text1"/>
          <w:sz w:val="25"/>
          <w:szCs w:val="25"/>
          <w:u w:val="single"/>
          <w:lang w:eastAsia="ar-SA"/>
        </w:rPr>
      </w:pPr>
      <w:r>
        <w:rPr>
          <w:b/>
          <w:bCs/>
          <w:color w:val="365F91" w:themeColor="accent1" w:themeShade="BF"/>
          <w:sz w:val="25"/>
          <w:szCs w:val="25"/>
          <w:lang w:eastAsia="ar-SA"/>
        </w:rPr>
        <w:t xml:space="preserve">841 </w:t>
      </w:r>
      <w:proofErr w:type="spellStart"/>
      <w:r>
        <w:rPr>
          <w:b/>
          <w:bCs/>
          <w:color w:val="365F91" w:themeColor="accent1" w:themeShade="BF"/>
          <w:sz w:val="25"/>
          <w:szCs w:val="25"/>
          <w:lang w:eastAsia="ar-SA"/>
        </w:rPr>
        <w:t>kT</w:t>
      </w:r>
      <w:r w:rsidRPr="001B3A03">
        <w:rPr>
          <w:color w:val="000000" w:themeColor="text1"/>
          <w:sz w:val="25"/>
          <w:szCs w:val="25"/>
          <w:lang w:eastAsia="ar-SA"/>
        </w:rPr>
        <w:t>en</w:t>
      </w:r>
      <w:proofErr w:type="spellEnd"/>
      <w:r w:rsidRPr="001B3A03">
        <w:rPr>
          <w:color w:val="000000" w:themeColor="text1"/>
          <w:sz w:val="25"/>
          <w:szCs w:val="25"/>
          <w:lang w:eastAsia="ar-SA"/>
        </w:rPr>
        <w:t xml:space="preserve"> 2020, </w:t>
      </w:r>
      <w:r>
        <w:rPr>
          <w:color w:val="000000" w:themeColor="text1"/>
          <w:sz w:val="25"/>
          <w:szCs w:val="25"/>
          <w:lang w:eastAsia="ar-SA"/>
        </w:rPr>
        <w:t>en</w:t>
      </w:r>
      <w:r w:rsidRPr="0028216C">
        <w:rPr>
          <w:color w:val="000000" w:themeColor="text1"/>
          <w:sz w:val="25"/>
          <w:szCs w:val="25"/>
          <w:lang w:eastAsia="ar-SA"/>
        </w:rPr>
        <w:t xml:space="preserve"> croissance annuelle moyenne </w:t>
      </w:r>
      <w:r w:rsidRPr="001B3A03">
        <w:rPr>
          <w:color w:val="000000" w:themeColor="text1"/>
          <w:sz w:val="25"/>
          <w:szCs w:val="25"/>
          <w:lang w:eastAsia="ar-SA"/>
        </w:rPr>
        <w:t>de 5,1% sur la période 2010-2020</w:t>
      </w:r>
      <w:r>
        <w:rPr>
          <w:color w:val="000000" w:themeColor="text1"/>
          <w:sz w:val="25"/>
          <w:szCs w:val="25"/>
          <w:lang w:eastAsia="ar-SA"/>
        </w:rPr>
        <w:t>.</w:t>
      </w:r>
    </w:p>
    <w:p w:rsidR="003B1464" w:rsidRPr="0035757D" w:rsidRDefault="003B1464" w:rsidP="003B1464">
      <w:pPr>
        <w:pStyle w:val="Paragraphedeliste"/>
        <w:numPr>
          <w:ilvl w:val="0"/>
          <w:numId w:val="1"/>
        </w:numPr>
        <w:spacing w:after="60"/>
        <w:ind w:left="425" w:hanging="357"/>
        <w:contextualSpacing w:val="0"/>
        <w:jc w:val="both"/>
        <w:rPr>
          <w:color w:val="000000" w:themeColor="text1"/>
          <w:sz w:val="25"/>
          <w:szCs w:val="25"/>
          <w:lang w:eastAsia="ar-SA"/>
        </w:rPr>
      </w:pPr>
      <w:r w:rsidRPr="001B3A03">
        <w:rPr>
          <w:b/>
          <w:bCs/>
          <w:color w:val="365F91" w:themeColor="accent1" w:themeShade="BF"/>
          <w:sz w:val="25"/>
          <w:szCs w:val="25"/>
          <w:lang w:eastAsia="ar-SA"/>
        </w:rPr>
        <w:t>22</w:t>
      </w:r>
      <w:r>
        <w:rPr>
          <w:b/>
          <w:bCs/>
          <w:color w:val="365F91" w:themeColor="accent1" w:themeShade="BF"/>
          <w:sz w:val="25"/>
          <w:szCs w:val="25"/>
          <w:lang w:eastAsia="ar-SA"/>
        </w:rPr>
        <w:t>,</w:t>
      </w:r>
      <w:r w:rsidRPr="001B3A03">
        <w:rPr>
          <w:b/>
          <w:bCs/>
          <w:color w:val="365F91" w:themeColor="accent1" w:themeShade="BF"/>
          <w:sz w:val="25"/>
          <w:szCs w:val="25"/>
          <w:lang w:eastAsia="ar-SA"/>
        </w:rPr>
        <w:t xml:space="preserve">6 MMDH </w:t>
      </w:r>
      <w:r w:rsidRPr="001B3A03">
        <w:rPr>
          <w:color w:val="000000" w:themeColor="text1"/>
          <w:sz w:val="25"/>
          <w:szCs w:val="25"/>
          <w:lang w:eastAsia="ar-SA"/>
        </w:rPr>
        <w:t>en 2020</w:t>
      </w:r>
      <w:r>
        <w:rPr>
          <w:color w:val="000000" w:themeColor="text1"/>
          <w:sz w:val="25"/>
          <w:szCs w:val="25"/>
          <w:lang w:eastAsia="ar-SA"/>
        </w:rPr>
        <w:t>, en</w:t>
      </w:r>
      <w:r w:rsidRPr="0028216C">
        <w:rPr>
          <w:color w:val="000000" w:themeColor="text1"/>
          <w:sz w:val="25"/>
          <w:szCs w:val="25"/>
          <w:lang w:eastAsia="ar-SA"/>
        </w:rPr>
        <w:t xml:space="preserve"> croissance annuelle moyenne </w:t>
      </w:r>
      <w:r w:rsidRPr="001B3A03">
        <w:rPr>
          <w:color w:val="000000" w:themeColor="text1"/>
          <w:sz w:val="25"/>
          <w:szCs w:val="25"/>
          <w:lang w:eastAsia="ar-SA"/>
        </w:rPr>
        <w:t>de 5,5%sur la période 2010-2020.</w:t>
      </w:r>
      <w:r w:rsidRPr="0028216C">
        <w:rPr>
          <w:color w:val="000000" w:themeColor="text1"/>
          <w:sz w:val="25"/>
          <w:szCs w:val="25"/>
          <w:lang w:eastAsia="ar-SA"/>
        </w:rPr>
        <w:t xml:space="preserve">En 2020, les exportations en valeur représentent </w:t>
      </w:r>
      <w:r>
        <w:rPr>
          <w:b/>
          <w:bCs/>
          <w:color w:val="365F91" w:themeColor="accent1" w:themeShade="BF"/>
          <w:sz w:val="25"/>
          <w:szCs w:val="25"/>
          <w:lang w:eastAsia="ar-SA"/>
        </w:rPr>
        <w:t>77</w:t>
      </w:r>
      <w:r w:rsidRPr="0028216C">
        <w:rPr>
          <w:b/>
          <w:bCs/>
          <w:color w:val="365F91" w:themeColor="accent1" w:themeShade="BF"/>
          <w:sz w:val="25"/>
          <w:szCs w:val="25"/>
          <w:lang w:eastAsia="ar-SA"/>
        </w:rPr>
        <w:t xml:space="preserve">% de l’objectif fixé par </w:t>
      </w:r>
      <w:proofErr w:type="spellStart"/>
      <w:r w:rsidRPr="0028216C">
        <w:rPr>
          <w:b/>
          <w:bCs/>
          <w:color w:val="365F91" w:themeColor="accent1" w:themeShade="BF"/>
          <w:sz w:val="25"/>
          <w:szCs w:val="25"/>
          <w:lang w:eastAsia="ar-SA"/>
        </w:rPr>
        <w:t>Halieutis</w:t>
      </w:r>
      <w:proofErr w:type="spellEnd"/>
      <w:r w:rsidRPr="0028216C">
        <w:rPr>
          <w:b/>
          <w:bCs/>
          <w:color w:val="365F91" w:themeColor="accent1" w:themeShade="BF"/>
          <w:sz w:val="25"/>
          <w:szCs w:val="25"/>
          <w:lang w:eastAsia="ar-SA"/>
        </w:rPr>
        <w:t xml:space="preserve"> </w:t>
      </w:r>
      <w:r w:rsidRPr="0028216C">
        <w:rPr>
          <w:color w:val="000000" w:themeColor="text1"/>
          <w:sz w:val="25"/>
          <w:szCs w:val="25"/>
          <w:lang w:eastAsia="ar-SA"/>
        </w:rPr>
        <w:t>(3,1 Mds$).</w:t>
      </w:r>
    </w:p>
    <w:p w:rsidR="003B1464" w:rsidRPr="0035757D" w:rsidRDefault="003B1464" w:rsidP="003B1464">
      <w:pPr>
        <w:pStyle w:val="Paragraphedeliste"/>
        <w:spacing w:after="0" w:line="20" w:lineRule="atLeast"/>
        <w:jc w:val="both"/>
        <w:rPr>
          <w:color w:val="000000" w:themeColor="text1"/>
          <w:sz w:val="25"/>
          <w:szCs w:val="25"/>
          <w:lang w:eastAsia="ar-SA"/>
        </w:rPr>
      </w:pPr>
    </w:p>
    <w:p w:rsidR="003B1464" w:rsidRPr="001B3A03" w:rsidRDefault="003B1464" w:rsidP="003B1464">
      <w:pPr>
        <w:pStyle w:val="Paragraphedeliste"/>
        <w:spacing w:before="60" w:after="0" w:line="20" w:lineRule="atLeast"/>
        <w:ind w:left="0"/>
        <w:contextualSpacing w:val="0"/>
        <w:jc w:val="both"/>
        <w:rPr>
          <w:b/>
          <w:bCs/>
          <w:color w:val="548DD4" w:themeColor="text2" w:themeTint="99"/>
          <w:sz w:val="25"/>
          <w:szCs w:val="25"/>
          <w:lang w:eastAsia="ar-SA"/>
        </w:rPr>
      </w:pPr>
      <w:r w:rsidRPr="001B3A03">
        <w:rPr>
          <w:b/>
          <w:bCs/>
          <w:color w:val="548DD4" w:themeColor="text2" w:themeTint="99"/>
          <w:sz w:val="25"/>
          <w:szCs w:val="25"/>
          <w:lang w:eastAsia="ar-SA"/>
        </w:rPr>
        <w:t>Emplois directs :</w:t>
      </w:r>
    </w:p>
    <w:p w:rsidR="003B1464" w:rsidRPr="0035757D" w:rsidRDefault="003B1464" w:rsidP="003B1464">
      <w:pPr>
        <w:pStyle w:val="Paragraphedeliste"/>
        <w:numPr>
          <w:ilvl w:val="0"/>
          <w:numId w:val="1"/>
        </w:numPr>
        <w:spacing w:before="60" w:after="60"/>
        <w:ind w:left="425" w:hanging="357"/>
        <w:contextualSpacing w:val="0"/>
        <w:jc w:val="both"/>
        <w:rPr>
          <w:color w:val="000000" w:themeColor="text1"/>
          <w:sz w:val="25"/>
          <w:szCs w:val="25"/>
          <w:lang w:eastAsia="ar-SA"/>
        </w:rPr>
      </w:pPr>
      <w:r w:rsidRPr="0035757D">
        <w:rPr>
          <w:color w:val="000000" w:themeColor="text1"/>
          <w:sz w:val="25"/>
          <w:szCs w:val="25"/>
          <w:lang w:eastAsia="ar-SA"/>
        </w:rPr>
        <w:t>Emploi en mer : 127.305 en 2020 ;</w:t>
      </w:r>
    </w:p>
    <w:p w:rsidR="003B1464" w:rsidRPr="0035757D" w:rsidRDefault="003B1464" w:rsidP="003B1464">
      <w:pPr>
        <w:pStyle w:val="Paragraphedeliste"/>
        <w:numPr>
          <w:ilvl w:val="0"/>
          <w:numId w:val="1"/>
        </w:numPr>
        <w:spacing w:before="60" w:after="60"/>
        <w:ind w:left="425" w:hanging="357"/>
        <w:contextualSpacing w:val="0"/>
        <w:jc w:val="both"/>
        <w:rPr>
          <w:color w:val="000000" w:themeColor="text1"/>
          <w:sz w:val="25"/>
          <w:szCs w:val="25"/>
          <w:lang w:eastAsia="ar-SA"/>
        </w:rPr>
      </w:pPr>
      <w:r w:rsidRPr="0035757D">
        <w:rPr>
          <w:color w:val="000000" w:themeColor="text1"/>
          <w:sz w:val="25"/>
          <w:szCs w:val="25"/>
          <w:lang w:eastAsia="ar-SA"/>
        </w:rPr>
        <w:t>Emploi à terre (industries de la pêche) : 109.500 en 2020, avec une croissance annuelle moyenne de 5,1% sur la période 2010-2020</w:t>
      </w:r>
      <w:r>
        <w:rPr>
          <w:color w:val="000000" w:themeColor="text1"/>
          <w:sz w:val="25"/>
          <w:szCs w:val="25"/>
          <w:lang w:eastAsia="ar-SA"/>
        </w:rPr>
        <w:t xml:space="preserve">, </w:t>
      </w:r>
      <w:r w:rsidRPr="0035757D">
        <w:rPr>
          <w:color w:val="000000" w:themeColor="text1"/>
          <w:sz w:val="25"/>
          <w:szCs w:val="25"/>
          <w:lang w:eastAsia="ar-SA"/>
        </w:rPr>
        <w:t xml:space="preserve">soit </w:t>
      </w:r>
      <w:r w:rsidRPr="0035757D">
        <w:rPr>
          <w:b/>
          <w:bCs/>
          <w:color w:val="365F91" w:themeColor="accent1" w:themeShade="BF"/>
          <w:sz w:val="25"/>
          <w:szCs w:val="25"/>
          <w:lang w:eastAsia="ar-SA"/>
        </w:rPr>
        <w:t xml:space="preserve">96% de l’objectif fixé par </w:t>
      </w:r>
      <w:r w:rsidRPr="0035757D">
        <w:rPr>
          <w:color w:val="000000" w:themeColor="text1"/>
          <w:sz w:val="25"/>
          <w:szCs w:val="25"/>
          <w:lang w:eastAsia="ar-SA"/>
        </w:rPr>
        <w:t>(115.000).</w:t>
      </w:r>
    </w:p>
    <w:p w:rsidR="003B1464" w:rsidRPr="001B3A03" w:rsidRDefault="003B1464" w:rsidP="003B1464">
      <w:pPr>
        <w:pStyle w:val="Paragraphedeliste"/>
        <w:spacing w:after="0" w:line="20" w:lineRule="atLeast"/>
        <w:ind w:left="426"/>
        <w:jc w:val="both"/>
        <w:rPr>
          <w:color w:val="000000" w:themeColor="text1"/>
          <w:sz w:val="25"/>
          <w:szCs w:val="25"/>
          <w:rtl/>
          <w:lang w:eastAsia="ar-SA" w:bidi="ar-MA"/>
        </w:rPr>
      </w:pPr>
    </w:p>
    <w:p w:rsidR="003B1464" w:rsidRPr="001B3A03" w:rsidRDefault="003B1464" w:rsidP="003B1464">
      <w:pPr>
        <w:pStyle w:val="Paragraphedeliste"/>
        <w:spacing w:before="60" w:after="0" w:line="20" w:lineRule="atLeast"/>
        <w:ind w:left="0"/>
        <w:contextualSpacing w:val="0"/>
        <w:jc w:val="both"/>
        <w:rPr>
          <w:b/>
          <w:bCs/>
          <w:color w:val="548DD4" w:themeColor="text2" w:themeTint="99"/>
          <w:sz w:val="25"/>
          <w:szCs w:val="25"/>
          <w:lang w:eastAsia="ar-SA"/>
        </w:rPr>
      </w:pPr>
      <w:r w:rsidRPr="001B3A03">
        <w:rPr>
          <w:b/>
          <w:bCs/>
          <w:color w:val="548DD4" w:themeColor="text2" w:themeTint="99"/>
          <w:sz w:val="25"/>
          <w:szCs w:val="25"/>
          <w:lang w:eastAsia="ar-SA"/>
        </w:rPr>
        <w:t>Investissements privés dans l’Industrie de valorisation</w:t>
      </w:r>
    </w:p>
    <w:p w:rsidR="003B1464" w:rsidRPr="0035757D" w:rsidRDefault="003B1464" w:rsidP="003B1464">
      <w:pPr>
        <w:pStyle w:val="Paragraphedeliste"/>
        <w:numPr>
          <w:ilvl w:val="0"/>
          <w:numId w:val="1"/>
        </w:numPr>
        <w:spacing w:before="60" w:after="60"/>
        <w:ind w:left="425" w:hanging="357"/>
        <w:contextualSpacing w:val="0"/>
        <w:jc w:val="both"/>
        <w:rPr>
          <w:color w:val="000000" w:themeColor="text1"/>
          <w:sz w:val="25"/>
          <w:szCs w:val="25"/>
          <w:lang w:eastAsia="ar-SA"/>
        </w:rPr>
      </w:pPr>
      <w:r w:rsidRPr="0035757D">
        <w:rPr>
          <w:color w:val="000000" w:themeColor="text1"/>
          <w:sz w:val="25"/>
          <w:szCs w:val="25"/>
          <w:lang w:eastAsia="ar-SA"/>
        </w:rPr>
        <w:t>490 MMDH sur la période 2010-2019, soit une</w:t>
      </w:r>
      <w:r w:rsidR="00B53D01">
        <w:rPr>
          <w:color w:val="000000" w:themeColor="text1"/>
          <w:sz w:val="25"/>
          <w:szCs w:val="25"/>
          <w:lang w:eastAsia="ar-SA"/>
        </w:rPr>
        <w:t xml:space="preserve"> </w:t>
      </w:r>
      <w:r w:rsidRPr="0035757D">
        <w:rPr>
          <w:color w:val="000000" w:themeColor="text1"/>
          <w:sz w:val="25"/>
          <w:szCs w:val="25"/>
          <w:lang w:eastAsia="ar-SA"/>
        </w:rPr>
        <w:t>croissance de 63% de l’investissement annuel moyen. Cette performance reflète la confiance des industriels marocains dans les choix stratégiques de ce Département et de la bonne santé du secteur.</w:t>
      </w:r>
    </w:p>
    <w:p w:rsidR="003B1464" w:rsidRPr="0035757D" w:rsidRDefault="003B1464" w:rsidP="003B1464">
      <w:pPr>
        <w:pStyle w:val="Paragraphedeliste"/>
        <w:spacing w:after="0" w:line="20" w:lineRule="atLeast"/>
        <w:ind w:left="426"/>
        <w:jc w:val="both"/>
        <w:rPr>
          <w:color w:val="000000" w:themeColor="text1"/>
          <w:sz w:val="25"/>
          <w:szCs w:val="25"/>
          <w:lang w:eastAsia="ar-SA"/>
        </w:rPr>
      </w:pPr>
    </w:p>
    <w:p w:rsidR="003B1464" w:rsidRPr="002D1E6D" w:rsidRDefault="003B1464" w:rsidP="003B1464">
      <w:pPr>
        <w:pStyle w:val="Paragraphedeliste"/>
        <w:spacing w:before="60" w:after="0" w:line="20" w:lineRule="atLeast"/>
        <w:ind w:left="0"/>
        <w:contextualSpacing w:val="0"/>
        <w:jc w:val="both"/>
        <w:rPr>
          <w:b/>
          <w:bCs/>
          <w:color w:val="548DD4" w:themeColor="text2" w:themeTint="99"/>
          <w:sz w:val="25"/>
          <w:szCs w:val="25"/>
          <w:lang w:eastAsia="ar-SA"/>
        </w:rPr>
      </w:pPr>
      <w:r w:rsidRPr="002D1E6D">
        <w:rPr>
          <w:b/>
          <w:bCs/>
          <w:color w:val="00B0F0"/>
          <w:sz w:val="25"/>
          <w:szCs w:val="25"/>
          <w:lang w:eastAsia="ar-SA"/>
        </w:rPr>
        <w:t>PIB</w:t>
      </w:r>
      <w:r w:rsidRPr="002D1E6D">
        <w:rPr>
          <w:rStyle w:val="Appelnotedebasdep"/>
          <w:b/>
          <w:bCs/>
          <w:color w:val="00B0F0"/>
          <w:sz w:val="25"/>
          <w:szCs w:val="25"/>
          <w:lang w:eastAsia="ar-SA"/>
        </w:rPr>
        <w:footnoteReference w:id="1"/>
      </w:r>
      <w:r w:rsidRPr="002D1E6D">
        <w:rPr>
          <w:color w:val="000000" w:themeColor="text1"/>
          <w:sz w:val="25"/>
          <w:szCs w:val="25"/>
          <w:lang w:eastAsia="ar-SA"/>
        </w:rPr>
        <w:t> </w:t>
      </w:r>
      <w:r w:rsidRPr="002D1E6D">
        <w:rPr>
          <w:b/>
          <w:bCs/>
          <w:color w:val="548DD4" w:themeColor="text2" w:themeTint="99"/>
          <w:sz w:val="25"/>
          <w:szCs w:val="25"/>
          <w:lang w:eastAsia="ar-SA"/>
        </w:rPr>
        <w:t xml:space="preserve"> (p</w:t>
      </w:r>
      <w:r>
        <w:rPr>
          <w:b/>
          <w:bCs/>
          <w:color w:val="548DD4" w:themeColor="text2" w:themeTint="99"/>
          <w:sz w:val="25"/>
          <w:szCs w:val="25"/>
          <w:lang w:eastAsia="ar-SA"/>
        </w:rPr>
        <w:t>êche, aquaculture et industrie)</w:t>
      </w:r>
    </w:p>
    <w:p w:rsidR="003B1464" w:rsidRPr="002D1E6D" w:rsidRDefault="003B1464" w:rsidP="003B1464">
      <w:pPr>
        <w:pStyle w:val="Paragraphedeliste"/>
        <w:numPr>
          <w:ilvl w:val="0"/>
          <w:numId w:val="1"/>
        </w:numPr>
        <w:spacing w:before="60" w:after="60"/>
        <w:ind w:left="425" w:hanging="357"/>
        <w:contextualSpacing w:val="0"/>
        <w:jc w:val="both"/>
        <w:rPr>
          <w:color w:val="000000" w:themeColor="text1"/>
          <w:sz w:val="25"/>
          <w:szCs w:val="25"/>
          <w:lang w:eastAsia="ar-SA"/>
        </w:rPr>
      </w:pPr>
      <w:r>
        <w:rPr>
          <w:color w:val="000000" w:themeColor="text1"/>
          <w:sz w:val="25"/>
          <w:szCs w:val="25"/>
          <w:lang w:eastAsia="ar-SA"/>
        </w:rPr>
        <w:t>17,</w:t>
      </w:r>
      <w:r w:rsidRPr="002D1E6D">
        <w:rPr>
          <w:color w:val="000000" w:themeColor="text1"/>
          <w:sz w:val="25"/>
          <w:szCs w:val="25"/>
          <w:lang w:eastAsia="ar-SA"/>
        </w:rPr>
        <w:t xml:space="preserve">3 </w:t>
      </w:r>
      <w:proofErr w:type="spellStart"/>
      <w:r w:rsidRPr="002D1E6D">
        <w:rPr>
          <w:color w:val="000000" w:themeColor="text1"/>
          <w:sz w:val="25"/>
          <w:szCs w:val="25"/>
          <w:lang w:eastAsia="ar-SA"/>
        </w:rPr>
        <w:t>MMdhs</w:t>
      </w:r>
      <w:proofErr w:type="spellEnd"/>
      <w:r w:rsidRPr="002D1E6D">
        <w:rPr>
          <w:color w:val="000000" w:themeColor="text1"/>
          <w:sz w:val="25"/>
          <w:szCs w:val="25"/>
          <w:lang w:eastAsia="ar-SA"/>
        </w:rPr>
        <w:t xml:space="preserve"> en 2019</w:t>
      </w:r>
      <w:r>
        <w:rPr>
          <w:color w:val="000000" w:themeColor="text1"/>
          <w:sz w:val="25"/>
          <w:szCs w:val="25"/>
          <w:lang w:eastAsia="ar-SA"/>
        </w:rPr>
        <w:t xml:space="preserve">, </w:t>
      </w:r>
      <w:r w:rsidRPr="002D1E6D">
        <w:rPr>
          <w:color w:val="000000" w:themeColor="text1"/>
          <w:sz w:val="25"/>
          <w:szCs w:val="25"/>
          <w:lang w:eastAsia="ar-SA"/>
        </w:rPr>
        <w:t>avec une croissance annuelle moyenne de l’ordre de 8%</w:t>
      </w:r>
      <w:r w:rsidRPr="0035757D">
        <w:rPr>
          <w:color w:val="000000" w:themeColor="text1"/>
          <w:sz w:val="25"/>
          <w:szCs w:val="25"/>
          <w:lang w:eastAsia="ar-SA"/>
        </w:rPr>
        <w:t>sur la période 2010-2020</w:t>
      </w:r>
      <w:r w:rsidRPr="002D1E6D">
        <w:rPr>
          <w:color w:val="000000" w:themeColor="text1"/>
          <w:sz w:val="25"/>
          <w:szCs w:val="25"/>
          <w:lang w:eastAsia="ar-SA"/>
        </w:rPr>
        <w:t xml:space="preserve">. Cela correspond à </w:t>
      </w:r>
      <w:r w:rsidRPr="002D1E6D">
        <w:rPr>
          <w:b/>
          <w:bCs/>
          <w:color w:val="365F91" w:themeColor="accent1" w:themeShade="BF"/>
          <w:sz w:val="25"/>
          <w:szCs w:val="25"/>
          <w:lang w:eastAsia="ar-SA"/>
        </w:rPr>
        <w:t xml:space="preserve">79% de l’objectif fixé par </w:t>
      </w:r>
      <w:proofErr w:type="spellStart"/>
      <w:r w:rsidRPr="002D1E6D">
        <w:rPr>
          <w:b/>
          <w:bCs/>
          <w:color w:val="365F91" w:themeColor="accent1" w:themeShade="BF"/>
          <w:sz w:val="25"/>
          <w:szCs w:val="25"/>
          <w:lang w:eastAsia="ar-SA"/>
        </w:rPr>
        <w:t>Halieutis</w:t>
      </w:r>
      <w:proofErr w:type="spellEnd"/>
      <w:r w:rsidRPr="002D1E6D">
        <w:rPr>
          <w:b/>
          <w:bCs/>
          <w:color w:val="365F91" w:themeColor="accent1" w:themeShade="BF"/>
          <w:sz w:val="25"/>
          <w:szCs w:val="25"/>
          <w:lang w:eastAsia="ar-SA"/>
        </w:rPr>
        <w:t xml:space="preserve"> </w:t>
      </w:r>
      <w:r w:rsidRPr="002D1E6D">
        <w:rPr>
          <w:color w:val="000000" w:themeColor="text1"/>
          <w:sz w:val="25"/>
          <w:szCs w:val="25"/>
          <w:lang w:eastAsia="ar-SA"/>
        </w:rPr>
        <w:t>(21,9 MMDH).</w:t>
      </w:r>
      <w:bookmarkStart w:id="0" w:name="_GoBack"/>
      <w:bookmarkEnd w:id="0"/>
    </w:p>
    <w:p w:rsidR="00C930B7" w:rsidRDefault="00C930B7"/>
    <w:sectPr w:rsidR="00C930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771" w:rsidRDefault="008B4771" w:rsidP="003B1464">
      <w:r>
        <w:separator/>
      </w:r>
    </w:p>
  </w:endnote>
  <w:endnote w:type="continuationSeparator" w:id="0">
    <w:p w:rsidR="008B4771" w:rsidRDefault="008B4771" w:rsidP="003B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771" w:rsidRDefault="008B4771" w:rsidP="003B1464">
      <w:r>
        <w:separator/>
      </w:r>
    </w:p>
  </w:footnote>
  <w:footnote w:type="continuationSeparator" w:id="0">
    <w:p w:rsidR="008B4771" w:rsidRDefault="008B4771" w:rsidP="003B1464">
      <w:r>
        <w:continuationSeparator/>
      </w:r>
    </w:p>
  </w:footnote>
  <w:footnote w:id="1">
    <w:p w:rsidR="003B1464" w:rsidRPr="005B7550" w:rsidRDefault="003B1464" w:rsidP="003B1464">
      <w:pPr>
        <w:pStyle w:val="Notedebasdepage"/>
        <w:rPr>
          <w:lang w:val="fr-MA"/>
        </w:rPr>
      </w:pPr>
      <w:r w:rsidRPr="008E28D0">
        <w:rPr>
          <w:rStyle w:val="Appelnotedebasdep"/>
          <w:sz w:val="16"/>
          <w:szCs w:val="16"/>
        </w:rPr>
        <w:footnoteRef/>
      </w:r>
      <w:r>
        <w:rPr>
          <w:sz w:val="16"/>
          <w:szCs w:val="16"/>
          <w:lang w:val="fr-MA"/>
        </w:rPr>
        <w:t>Les derniers c</w:t>
      </w:r>
      <w:r w:rsidRPr="008E28D0">
        <w:rPr>
          <w:sz w:val="16"/>
          <w:szCs w:val="16"/>
          <w:lang w:val="fr-MA"/>
        </w:rPr>
        <w:t xml:space="preserve">hiffres </w:t>
      </w:r>
      <w:r>
        <w:rPr>
          <w:sz w:val="16"/>
          <w:szCs w:val="16"/>
          <w:lang w:val="fr-MA"/>
        </w:rPr>
        <w:t>disponibles concernent l’année</w:t>
      </w:r>
      <w:r w:rsidRPr="008E28D0">
        <w:rPr>
          <w:sz w:val="16"/>
          <w:szCs w:val="16"/>
          <w:lang w:val="fr-MA"/>
        </w:rPr>
        <w:t xml:space="preserve"> 2019</w:t>
      </w:r>
      <w:r>
        <w:rPr>
          <w:sz w:val="16"/>
          <w:szCs w:val="16"/>
          <w:lang w:val="fr-MA"/>
        </w:rPr>
        <w:t xml:space="preserve"> dans l’attente de la publication par le HCP des indicateurs de 2020.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46F3C"/>
    <w:multiLevelType w:val="hybridMultilevel"/>
    <w:tmpl w:val="963856E6"/>
    <w:lvl w:ilvl="0" w:tplc="322E5B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64"/>
    <w:rsid w:val="003B1464"/>
    <w:rsid w:val="004E2E1B"/>
    <w:rsid w:val="00653C99"/>
    <w:rsid w:val="008B4771"/>
    <w:rsid w:val="00B53D01"/>
    <w:rsid w:val="00C930B7"/>
    <w:rsid w:val="00FB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D3895-524D-49FA-BC09-FE2FC3ED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4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exte-Nelite,lp1,Lapis Bulleted List,List Paragraph (numbered (a)),Desmond 2,Liste 1,Bullets,Medium Grid 1 - Accent 21,References,List Paragraph nowy,Numbered List Paragraph,Liste couleur - Accent 11"/>
    <w:basedOn w:val="Normal"/>
    <w:link w:val="ParagraphedelisteCar"/>
    <w:uiPriority w:val="34"/>
    <w:qFormat/>
    <w:rsid w:val="003B14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3B1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rsid w:val="003B1464"/>
    <w:rPr>
      <w:rFonts w:ascii="Calibri" w:eastAsia="Times New Roman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B1464"/>
    <w:rPr>
      <w:rFonts w:ascii="Calibri" w:eastAsia="Times New Roman" w:hAnsi="Calibri" w:cs="Arial"/>
      <w:sz w:val="20"/>
      <w:szCs w:val="20"/>
    </w:rPr>
  </w:style>
  <w:style w:type="character" w:styleId="Appelnotedebasdep">
    <w:name w:val="footnote reference"/>
    <w:uiPriority w:val="99"/>
    <w:rsid w:val="003B1464"/>
    <w:rPr>
      <w:rFonts w:cs="Times New Roman"/>
      <w:vertAlign w:val="superscript"/>
    </w:rPr>
  </w:style>
  <w:style w:type="character" w:customStyle="1" w:styleId="ParagraphedelisteCar">
    <w:name w:val="Paragraphe de liste Car"/>
    <w:aliases w:val="Texte-Nelite Car,lp1 Car,Lapis Bulleted List Car,List Paragraph (numbered (a)) Car,Desmond 2 Car,Liste 1 Car,Bullets Car,Medium Grid 1 - Accent 21 Car,References Car,List Paragraph nowy Car,Numbered List Paragraph Car"/>
    <w:basedOn w:val="Policepardfaut"/>
    <w:link w:val="Paragraphedeliste"/>
    <w:uiPriority w:val="34"/>
    <w:qFormat/>
    <w:rsid w:val="003B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ZAHRAOUI</dc:creator>
  <cp:keywords/>
  <dc:description/>
  <cp:lastModifiedBy>user</cp:lastModifiedBy>
  <cp:revision>4</cp:revision>
  <dcterms:created xsi:type="dcterms:W3CDTF">2021-10-14T19:44:00Z</dcterms:created>
  <dcterms:modified xsi:type="dcterms:W3CDTF">2021-10-14T19:44:00Z</dcterms:modified>
</cp:coreProperties>
</file>